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E0" w:rsidRPr="00DA0700" w:rsidRDefault="002E5CE0" w:rsidP="002E5CE0">
      <w:pPr>
        <w:jc w:val="center"/>
      </w:pPr>
      <w:r w:rsidRPr="00DA0700">
        <w:t>Уважаемы</w:t>
      </w:r>
      <w:r>
        <w:t>е</w:t>
      </w:r>
      <w:r w:rsidRPr="00DA0700">
        <w:t xml:space="preserve"> коллег</w:t>
      </w:r>
      <w:r>
        <w:t>и</w:t>
      </w:r>
      <w:r w:rsidRPr="00DA0700">
        <w:t>,</w:t>
      </w:r>
    </w:p>
    <w:p w:rsidR="002E5CE0" w:rsidRPr="00DA0700" w:rsidRDefault="002E5CE0" w:rsidP="002E5CE0"/>
    <w:p w:rsidR="002E5CE0" w:rsidRDefault="002E5CE0" w:rsidP="002E5CE0">
      <w:pPr>
        <w:ind w:firstLine="709"/>
      </w:pPr>
      <w:r w:rsidRPr="00DA0700">
        <w:t>Мы рады пригласить вас принять участие в конференци</w:t>
      </w:r>
      <w:r>
        <w:t>и</w:t>
      </w:r>
      <w:r w:rsidRPr="00DA0700">
        <w:t>, котор</w:t>
      </w:r>
      <w:r>
        <w:t>ая</w:t>
      </w:r>
      <w:r w:rsidRPr="00DA0700">
        <w:t xml:space="preserve"> явля</w:t>
      </w:r>
      <w:r>
        <w:t>ется</w:t>
      </w:r>
      <w:r w:rsidRPr="00DA0700">
        <w:t xml:space="preserve"> частью международных научных мероприятий 2022 года, которые будут проводиться в Бургасе, Болгария, на побережье Черного моря. Мероприятия будут проходить как в режиме реального времени, так и в режиме </w:t>
      </w:r>
      <w:proofErr w:type="spellStart"/>
      <w:r w:rsidRPr="00DA0700">
        <w:t>онлайн</w:t>
      </w:r>
      <w:proofErr w:type="spellEnd"/>
      <w:r w:rsidRPr="00DA0700">
        <w:t>, с соблюдением всех применимых мер безопасности.</w:t>
      </w:r>
    </w:p>
    <w:p w:rsidR="002E5CE0" w:rsidRPr="005F2C08" w:rsidRDefault="002E5CE0" w:rsidP="002E5CE0">
      <w:pPr>
        <w:rPr>
          <w:sz w:val="10"/>
          <w:szCs w:val="10"/>
        </w:rPr>
      </w:pPr>
    </w:p>
    <w:p w:rsidR="00C6321B" w:rsidRDefault="00C6321B" w:rsidP="00C6321B">
      <w:pPr>
        <w:ind w:firstLine="709"/>
        <w:rPr>
          <w:b/>
          <w:color w:val="365F91" w:themeColor="accent1" w:themeShade="BF"/>
        </w:rPr>
      </w:pPr>
      <w:r w:rsidRPr="00AB4117">
        <w:rPr>
          <w:b/>
          <w:color w:val="365F91" w:themeColor="accent1" w:themeShade="BF"/>
        </w:rPr>
        <w:t>Экономика и бизнес, 21-я Международная конференция (22-25 а</w:t>
      </w:r>
      <w:r w:rsidRPr="00AB4117">
        <w:rPr>
          <w:b/>
          <w:color w:val="365F91" w:themeColor="accent1" w:themeShade="BF"/>
        </w:rPr>
        <w:t>в</w:t>
      </w:r>
      <w:r w:rsidRPr="00AB4117">
        <w:rPr>
          <w:b/>
          <w:color w:val="365F91" w:themeColor="accent1" w:themeShade="BF"/>
        </w:rPr>
        <w:t>густа)</w:t>
      </w:r>
      <w:r>
        <w:rPr>
          <w:b/>
          <w:color w:val="365F91" w:themeColor="accent1" w:themeShade="BF"/>
        </w:rPr>
        <w:t xml:space="preserve">, </w:t>
      </w:r>
    </w:p>
    <w:p w:rsidR="00391D12" w:rsidRPr="005F2C08" w:rsidRDefault="00391D12" w:rsidP="00391D12">
      <w:pPr>
        <w:shd w:val="clear" w:color="auto" w:fill="FFFFFF"/>
        <w:jc w:val="left"/>
        <w:rPr>
          <w:rFonts w:eastAsia="Times New Roman" w:cs="Times New Roman"/>
          <w:color w:val="111111"/>
          <w:sz w:val="10"/>
          <w:szCs w:val="10"/>
          <w:lang w:eastAsia="ru-RU"/>
        </w:rPr>
      </w:pPr>
    </w:p>
    <w:p w:rsidR="004E106E" w:rsidRDefault="004E106E" w:rsidP="00391D12">
      <w:pPr>
        <w:shd w:val="clear" w:color="auto" w:fill="FFFFFF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4E106E">
        <w:rPr>
          <w:rFonts w:eastAsia="Times New Roman" w:cs="Times New Roman"/>
          <w:color w:val="111111"/>
          <w:szCs w:val="28"/>
          <w:lang w:eastAsia="ru-RU"/>
        </w:rPr>
        <w:t>В</w:t>
      </w:r>
      <w:r w:rsidRPr="00391D12">
        <w:rPr>
          <w:rFonts w:eastAsia="Times New Roman" w:cs="Times New Roman"/>
          <w:color w:val="111111"/>
          <w:szCs w:val="28"/>
          <w:lang w:val="en-US" w:eastAsia="ru-RU"/>
        </w:rPr>
        <w:t xml:space="preserve"> </w:t>
      </w:r>
      <w:r w:rsidRPr="004E106E">
        <w:rPr>
          <w:rFonts w:eastAsia="Times New Roman" w:cs="Times New Roman"/>
          <w:color w:val="111111"/>
          <w:szCs w:val="28"/>
          <w:lang w:eastAsia="ru-RU"/>
        </w:rPr>
        <w:t>сотрудничестве</w:t>
      </w:r>
      <w:r w:rsidRPr="00391D12">
        <w:rPr>
          <w:rFonts w:eastAsia="Times New Roman" w:cs="Times New Roman"/>
          <w:color w:val="111111"/>
          <w:szCs w:val="28"/>
          <w:lang w:val="en-US" w:eastAsia="ru-RU"/>
        </w:rPr>
        <w:t xml:space="preserve"> </w:t>
      </w:r>
      <w:proofErr w:type="gramStart"/>
      <w:r w:rsidRPr="004E106E">
        <w:rPr>
          <w:rFonts w:eastAsia="Times New Roman" w:cs="Times New Roman"/>
          <w:color w:val="111111"/>
          <w:szCs w:val="28"/>
          <w:lang w:eastAsia="ru-RU"/>
        </w:rPr>
        <w:t>с</w:t>
      </w:r>
      <w:proofErr w:type="gramEnd"/>
      <w:r w:rsidRPr="00391D12">
        <w:rPr>
          <w:rFonts w:eastAsia="Times New Roman" w:cs="Times New Roman"/>
          <w:color w:val="111111"/>
          <w:szCs w:val="28"/>
          <w:lang w:val="en-US" w:eastAsia="ru-RU"/>
        </w:rPr>
        <w:t>:</w:t>
      </w:r>
    </w:p>
    <w:p w:rsidR="00C6321B" w:rsidRPr="00C6321B" w:rsidRDefault="00C6321B" w:rsidP="00C6321B">
      <w:pPr>
        <w:shd w:val="clear" w:color="auto" w:fill="FFFFFF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C6321B">
        <w:rPr>
          <w:rFonts w:eastAsia="Times New Roman" w:cs="Times New Roman"/>
          <w:color w:val="111111"/>
          <w:szCs w:val="28"/>
          <w:lang w:eastAsia="ru-RU"/>
        </w:rPr>
        <w:t>Болгарская академия наук</w:t>
      </w:r>
    </w:p>
    <w:p w:rsidR="00C6321B" w:rsidRPr="00C6321B" w:rsidRDefault="00C6321B" w:rsidP="00C6321B">
      <w:pPr>
        <w:shd w:val="clear" w:color="auto" w:fill="FFFFFF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C6321B">
        <w:rPr>
          <w:rFonts w:eastAsia="Times New Roman" w:cs="Times New Roman"/>
          <w:color w:val="111111"/>
          <w:szCs w:val="28"/>
          <w:lang w:eastAsia="ru-RU"/>
        </w:rPr>
        <w:t>Союз ученых Болгарии</w:t>
      </w:r>
    </w:p>
    <w:p w:rsidR="00C6321B" w:rsidRPr="00C6321B" w:rsidRDefault="00C6321B" w:rsidP="00C6321B">
      <w:pPr>
        <w:shd w:val="clear" w:color="auto" w:fill="FFFFFF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C6321B">
        <w:rPr>
          <w:rFonts w:eastAsia="Times New Roman" w:cs="Times New Roman"/>
          <w:color w:val="111111"/>
          <w:szCs w:val="28"/>
          <w:lang w:eastAsia="ru-RU"/>
        </w:rPr>
        <w:t>Фонд науки и образования, Болгария</w:t>
      </w:r>
    </w:p>
    <w:p w:rsidR="00C6321B" w:rsidRPr="00C6321B" w:rsidRDefault="00C6321B" w:rsidP="00C6321B">
      <w:pPr>
        <w:shd w:val="clear" w:color="auto" w:fill="FFFFFF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C6321B">
        <w:rPr>
          <w:rFonts w:eastAsia="Times New Roman" w:cs="Times New Roman"/>
          <w:color w:val="111111"/>
          <w:szCs w:val="28"/>
          <w:lang w:eastAsia="ru-RU"/>
        </w:rPr>
        <w:t>Университет ВУЗФ, Болгария</w:t>
      </w:r>
    </w:p>
    <w:p w:rsidR="00C6321B" w:rsidRPr="00C6321B" w:rsidRDefault="00C6321B" w:rsidP="00C6321B">
      <w:pPr>
        <w:shd w:val="clear" w:color="auto" w:fill="FFFFFF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C6321B">
        <w:rPr>
          <w:rFonts w:eastAsia="Times New Roman" w:cs="Times New Roman"/>
          <w:color w:val="111111"/>
          <w:szCs w:val="28"/>
          <w:lang w:eastAsia="ru-RU"/>
        </w:rPr>
        <w:t>Университет национальной и мировой экономики, Болгария</w:t>
      </w:r>
    </w:p>
    <w:p w:rsidR="00C6321B" w:rsidRPr="00C6321B" w:rsidRDefault="00C6321B" w:rsidP="00C6321B">
      <w:pPr>
        <w:shd w:val="clear" w:color="auto" w:fill="FFFFFF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C6321B">
        <w:rPr>
          <w:rFonts w:eastAsia="Times New Roman" w:cs="Times New Roman"/>
          <w:color w:val="111111"/>
          <w:szCs w:val="28"/>
          <w:lang w:eastAsia="ru-RU"/>
        </w:rPr>
        <w:t>Институт экономики Национальной академии наук Беларуси</w:t>
      </w:r>
    </w:p>
    <w:p w:rsidR="00C6321B" w:rsidRPr="00C6321B" w:rsidRDefault="00C6321B" w:rsidP="00C6321B">
      <w:pPr>
        <w:shd w:val="clear" w:color="auto" w:fill="FFFFFF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C6321B">
        <w:rPr>
          <w:rFonts w:eastAsia="Times New Roman" w:cs="Times New Roman"/>
          <w:color w:val="111111"/>
          <w:szCs w:val="28"/>
          <w:lang w:eastAsia="ru-RU"/>
        </w:rPr>
        <w:t>Факультет военного руководства, Университет обороны, Чешская Республика</w:t>
      </w:r>
    </w:p>
    <w:p w:rsidR="00C6321B" w:rsidRPr="00C6321B" w:rsidRDefault="00C6321B" w:rsidP="00C6321B">
      <w:pPr>
        <w:shd w:val="clear" w:color="auto" w:fill="FFFFFF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C6321B">
        <w:rPr>
          <w:rFonts w:eastAsia="Times New Roman" w:cs="Times New Roman"/>
          <w:color w:val="111111"/>
          <w:szCs w:val="28"/>
          <w:lang w:eastAsia="ru-RU"/>
        </w:rPr>
        <w:t xml:space="preserve">Институт менеджмента Университета Святых Кирилла и </w:t>
      </w:r>
      <w:proofErr w:type="spellStart"/>
      <w:r w:rsidRPr="00C6321B">
        <w:rPr>
          <w:rFonts w:eastAsia="Times New Roman" w:cs="Times New Roman"/>
          <w:color w:val="111111"/>
          <w:szCs w:val="28"/>
          <w:lang w:eastAsia="ru-RU"/>
        </w:rPr>
        <w:t>Мефодия</w:t>
      </w:r>
      <w:proofErr w:type="spellEnd"/>
      <w:r w:rsidRPr="00C6321B">
        <w:rPr>
          <w:rFonts w:eastAsia="Times New Roman" w:cs="Times New Roman"/>
          <w:color w:val="111111"/>
          <w:szCs w:val="28"/>
          <w:lang w:eastAsia="ru-RU"/>
        </w:rPr>
        <w:t xml:space="preserve"> в </w:t>
      </w:r>
      <w:proofErr w:type="spellStart"/>
      <w:r w:rsidRPr="00C6321B">
        <w:rPr>
          <w:rFonts w:eastAsia="Times New Roman" w:cs="Times New Roman"/>
          <w:color w:val="111111"/>
          <w:szCs w:val="28"/>
          <w:lang w:eastAsia="ru-RU"/>
        </w:rPr>
        <w:t>Трнаве</w:t>
      </w:r>
      <w:proofErr w:type="spellEnd"/>
      <w:r w:rsidRPr="00C6321B">
        <w:rPr>
          <w:rFonts w:eastAsia="Times New Roman" w:cs="Times New Roman"/>
          <w:color w:val="111111"/>
          <w:szCs w:val="28"/>
          <w:lang w:eastAsia="ru-RU"/>
        </w:rPr>
        <w:t>, Словакия</w:t>
      </w:r>
    </w:p>
    <w:p w:rsidR="00C6321B" w:rsidRPr="00C6321B" w:rsidRDefault="00C6321B" w:rsidP="00C6321B">
      <w:pPr>
        <w:shd w:val="clear" w:color="auto" w:fill="FFFFFF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C6321B">
        <w:rPr>
          <w:rFonts w:eastAsia="Times New Roman" w:cs="Times New Roman"/>
          <w:color w:val="111111"/>
          <w:szCs w:val="28"/>
          <w:lang w:eastAsia="ru-RU"/>
        </w:rPr>
        <w:t>Институт философии и социально-политических исследований Южного федерального университета, Россия</w:t>
      </w:r>
    </w:p>
    <w:tbl>
      <w:tblPr>
        <w:tblW w:w="9626" w:type="dxa"/>
        <w:tblBorders>
          <w:top w:val="single" w:sz="6" w:space="0" w:color="AAAAAA"/>
          <w:left w:val="single" w:sz="6" w:space="0" w:color="AAAAA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6"/>
        <w:gridCol w:w="2404"/>
        <w:gridCol w:w="2025"/>
        <w:gridCol w:w="3291"/>
      </w:tblGrid>
      <w:tr w:rsidR="00084174" w:rsidRPr="00084174" w:rsidTr="00084174">
        <w:trPr>
          <w:trHeight w:val="589"/>
          <w:tblHeader/>
        </w:trPr>
        <w:tc>
          <w:tcPr>
            <w:tcW w:w="1906" w:type="dxa"/>
            <w:tcBorders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84174" w:rsidRPr="00084174" w:rsidRDefault="00084174" w:rsidP="00084174">
            <w:pPr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84174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2404" w:type="dxa"/>
            <w:tcBorders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84174" w:rsidRPr="00084174" w:rsidRDefault="00084174" w:rsidP="00084174">
            <w:pPr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84174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Регистрация участников</w:t>
            </w:r>
          </w:p>
        </w:tc>
        <w:tc>
          <w:tcPr>
            <w:tcW w:w="2025" w:type="dxa"/>
            <w:tcBorders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84174" w:rsidRPr="00084174" w:rsidRDefault="00084174" w:rsidP="00084174">
            <w:pPr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84174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Открытие</w:t>
            </w:r>
          </w:p>
        </w:tc>
        <w:tc>
          <w:tcPr>
            <w:tcW w:w="3291" w:type="dxa"/>
            <w:tcBorders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84174" w:rsidRPr="00084174" w:rsidRDefault="00084174" w:rsidP="00084174">
            <w:pPr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84174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5F2C08" w:rsidRPr="00AF634C" w:rsidTr="00AF634C">
        <w:trPr>
          <w:trHeight w:val="883"/>
        </w:trPr>
        <w:tc>
          <w:tcPr>
            <w:tcW w:w="1906" w:type="dxa"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F2C08" w:rsidRPr="005F2C08" w:rsidRDefault="005F2C08" w:rsidP="005F2C08">
            <w:pPr>
              <w:jc w:val="center"/>
              <w:rPr>
                <w:rFonts w:cs="Times New Roman"/>
                <w:color w:val="111111"/>
                <w:sz w:val="22"/>
              </w:rPr>
            </w:pPr>
            <w:proofErr w:type="spellStart"/>
            <w:r w:rsidRPr="005F2C08">
              <w:rPr>
                <w:rFonts w:cs="Times New Roman"/>
                <w:color w:val="111111"/>
                <w:sz w:val="22"/>
              </w:rPr>
              <w:t>Materials</w:t>
            </w:r>
            <w:proofErr w:type="spellEnd"/>
            <w:r w:rsidRPr="005F2C08">
              <w:rPr>
                <w:rFonts w:cs="Times New Roman"/>
                <w:color w:val="111111"/>
                <w:sz w:val="22"/>
              </w:rPr>
              <w:t xml:space="preserve">, </w:t>
            </w:r>
            <w:proofErr w:type="spellStart"/>
            <w:r w:rsidRPr="005F2C08">
              <w:rPr>
                <w:rFonts w:cs="Times New Roman"/>
                <w:color w:val="111111"/>
                <w:sz w:val="22"/>
              </w:rPr>
              <w:t>Methods</w:t>
            </w:r>
            <w:proofErr w:type="spellEnd"/>
            <w:r w:rsidRPr="005F2C08">
              <w:rPr>
                <w:rFonts w:cs="Times New Roman"/>
                <w:color w:val="111111"/>
                <w:sz w:val="22"/>
              </w:rPr>
              <w:t xml:space="preserve"> &amp; </w:t>
            </w:r>
            <w:proofErr w:type="spellStart"/>
            <w:r w:rsidRPr="005F2C08">
              <w:rPr>
                <w:rFonts w:cs="Times New Roman"/>
                <w:color w:val="111111"/>
                <w:sz w:val="22"/>
              </w:rPr>
              <w:t>Technologies</w:t>
            </w:r>
            <w:proofErr w:type="spellEnd"/>
          </w:p>
        </w:tc>
        <w:tc>
          <w:tcPr>
            <w:tcW w:w="2404" w:type="dxa"/>
            <w:tcBorders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F2C08" w:rsidRPr="005F2C08" w:rsidRDefault="005F2C08" w:rsidP="005F2C08">
            <w:pPr>
              <w:jc w:val="center"/>
              <w:rPr>
                <w:rFonts w:cs="Times New Roman"/>
                <w:color w:val="111111"/>
                <w:sz w:val="22"/>
              </w:rPr>
            </w:pPr>
            <w:r w:rsidRPr="005F2C08">
              <w:rPr>
                <w:rFonts w:cs="Times New Roman"/>
                <w:color w:val="111111"/>
                <w:sz w:val="22"/>
              </w:rPr>
              <w:t>05-06 PM, 19 Август</w:t>
            </w:r>
            <w:r w:rsidRPr="005F2C08">
              <w:rPr>
                <w:rFonts w:cs="Times New Roman"/>
                <w:color w:val="111111"/>
                <w:sz w:val="22"/>
              </w:rPr>
              <w:br/>
              <w:t>09-10 AM, 20 Август</w:t>
            </w:r>
          </w:p>
        </w:tc>
        <w:tc>
          <w:tcPr>
            <w:tcW w:w="2025" w:type="dxa"/>
            <w:tcBorders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F2C08" w:rsidRPr="005F2C08" w:rsidRDefault="005F2C08" w:rsidP="005F2C08">
            <w:pPr>
              <w:jc w:val="center"/>
              <w:rPr>
                <w:rFonts w:cs="Times New Roman"/>
                <w:color w:val="111111"/>
                <w:sz w:val="22"/>
              </w:rPr>
            </w:pPr>
            <w:r w:rsidRPr="005F2C08">
              <w:rPr>
                <w:rFonts w:cs="Times New Roman"/>
                <w:color w:val="111111"/>
                <w:sz w:val="22"/>
              </w:rPr>
              <w:t>10 AM, 20 Август</w:t>
            </w:r>
          </w:p>
        </w:tc>
        <w:tc>
          <w:tcPr>
            <w:tcW w:w="3291" w:type="dxa"/>
            <w:tcBorders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F2C08" w:rsidRPr="005F2C08" w:rsidRDefault="005F2C08" w:rsidP="005F2C08">
            <w:pPr>
              <w:jc w:val="center"/>
              <w:rPr>
                <w:rFonts w:cs="Times New Roman"/>
                <w:color w:val="111111"/>
                <w:sz w:val="22"/>
              </w:rPr>
            </w:pPr>
            <w:r w:rsidRPr="005F2C08">
              <w:rPr>
                <w:rFonts w:cs="Times New Roman"/>
                <w:color w:val="111111"/>
                <w:sz w:val="22"/>
              </w:rPr>
              <w:t>19-22 Август 2022</w:t>
            </w:r>
            <w:r w:rsidRPr="005F2C08">
              <w:rPr>
                <w:rFonts w:cs="Times New Roman"/>
                <w:color w:val="111111"/>
                <w:sz w:val="22"/>
              </w:rPr>
              <w:br/>
              <w:t xml:space="preserve">Отель </w:t>
            </w:r>
            <w:proofErr w:type="spellStart"/>
            <w:r w:rsidRPr="005F2C08">
              <w:rPr>
                <w:rFonts w:cs="Times New Roman"/>
                <w:color w:val="111111"/>
                <w:sz w:val="22"/>
              </w:rPr>
              <w:t>Bulgaria</w:t>
            </w:r>
            <w:proofErr w:type="spellEnd"/>
            <w:r w:rsidRPr="005F2C08">
              <w:rPr>
                <w:rFonts w:cs="Times New Roman"/>
                <w:color w:val="111111"/>
                <w:sz w:val="22"/>
              </w:rPr>
              <w:t>, Бургас</w:t>
            </w:r>
          </w:p>
        </w:tc>
      </w:tr>
    </w:tbl>
    <w:p w:rsidR="00084174" w:rsidRPr="00025779" w:rsidRDefault="00084174" w:rsidP="002E5CE0">
      <w:pPr>
        <w:ind w:firstLine="709"/>
        <w:rPr>
          <w:rFonts w:cs="Times New Roman"/>
          <w:sz w:val="24"/>
          <w:szCs w:val="24"/>
          <w:lang w:val="en-US"/>
        </w:rPr>
      </w:pPr>
    </w:p>
    <w:tbl>
      <w:tblPr>
        <w:tblW w:w="9506" w:type="dxa"/>
        <w:tblBorders>
          <w:top w:val="single" w:sz="6" w:space="0" w:color="AAAAAA"/>
          <w:left w:val="single" w:sz="6" w:space="0" w:color="AAAAA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3"/>
        <w:gridCol w:w="7513"/>
      </w:tblGrid>
      <w:tr w:rsidR="002E5CE0" w:rsidRPr="00025779" w:rsidTr="002773C9">
        <w:trPr>
          <w:tblHeader/>
        </w:trPr>
        <w:tc>
          <w:tcPr>
            <w:tcW w:w="9506" w:type="dxa"/>
            <w:gridSpan w:val="2"/>
            <w:tcBorders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E5CE0" w:rsidRPr="00025779" w:rsidRDefault="002E5CE0" w:rsidP="002E5CE0">
            <w:pPr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25779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Важные сроки</w:t>
            </w:r>
          </w:p>
        </w:tc>
      </w:tr>
      <w:tr w:rsidR="002E5CE0" w:rsidRPr="00025779" w:rsidTr="002773C9">
        <w:tc>
          <w:tcPr>
            <w:tcW w:w="1993" w:type="dxa"/>
            <w:tcBorders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E5CE0" w:rsidRPr="00025779" w:rsidRDefault="002E5CE0" w:rsidP="002773C9">
            <w:pPr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25779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31 января 2022</w:t>
            </w:r>
          </w:p>
        </w:tc>
        <w:tc>
          <w:tcPr>
            <w:tcW w:w="7513" w:type="dxa"/>
            <w:tcBorders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E5CE0" w:rsidRPr="00025779" w:rsidRDefault="00D82C5B" w:rsidP="002773C9">
            <w:pPr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5" w:history="1">
              <w:r w:rsidR="002E5CE0" w:rsidRPr="00025779">
                <w:rPr>
                  <w:rFonts w:eastAsia="Times New Roman" w:cs="Times New Roman"/>
                  <w:color w:val="005975"/>
                  <w:sz w:val="24"/>
                  <w:szCs w:val="24"/>
                  <w:u w:val="single"/>
                  <w:lang w:eastAsia="ru-RU"/>
                </w:rPr>
                <w:t>Отправка заявок на участие</w:t>
              </w:r>
            </w:hyperlink>
            <w:r w:rsidR="002E5CE0" w:rsidRPr="00025779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 вместе с короткими резюме докладов.</w:t>
            </w:r>
          </w:p>
        </w:tc>
      </w:tr>
      <w:tr w:rsidR="002E5CE0" w:rsidRPr="00025779" w:rsidTr="002773C9">
        <w:tc>
          <w:tcPr>
            <w:tcW w:w="1993" w:type="dxa"/>
            <w:tcBorders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E5CE0" w:rsidRPr="00025779" w:rsidRDefault="002E5CE0" w:rsidP="002773C9">
            <w:pPr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25779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28 февраля 2022</w:t>
            </w:r>
          </w:p>
        </w:tc>
        <w:tc>
          <w:tcPr>
            <w:tcW w:w="7513" w:type="dxa"/>
            <w:tcBorders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E5CE0" w:rsidRPr="00025779" w:rsidRDefault="00D82C5B" w:rsidP="002773C9">
            <w:pPr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6" w:history="1">
              <w:r w:rsidR="002E5CE0" w:rsidRPr="00025779">
                <w:rPr>
                  <w:rFonts w:eastAsia="Times New Roman" w:cs="Times New Roman"/>
                  <w:color w:val="005975"/>
                  <w:sz w:val="24"/>
                  <w:szCs w:val="24"/>
                  <w:u w:val="single"/>
                  <w:lang w:eastAsia="ru-RU"/>
                </w:rPr>
                <w:t>Взносы на участие</w:t>
              </w:r>
            </w:hyperlink>
            <w:r w:rsidR="00084174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 переводятся по ра</w:t>
            </w:r>
            <w:r w:rsidR="002E5CE0" w:rsidRPr="00025779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счетному счету, указанному в официальном письме (счете-проформе).</w:t>
            </w:r>
          </w:p>
        </w:tc>
      </w:tr>
      <w:tr w:rsidR="002E5CE0" w:rsidRPr="00025779" w:rsidTr="002773C9">
        <w:tc>
          <w:tcPr>
            <w:tcW w:w="1993" w:type="dxa"/>
            <w:tcBorders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E5CE0" w:rsidRPr="00025779" w:rsidRDefault="002E5CE0" w:rsidP="002773C9">
            <w:pPr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25779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31 марта 2022</w:t>
            </w:r>
          </w:p>
        </w:tc>
        <w:tc>
          <w:tcPr>
            <w:tcW w:w="7513" w:type="dxa"/>
            <w:tcBorders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E5CE0" w:rsidRPr="00025779" w:rsidRDefault="002E5CE0" w:rsidP="002773C9">
            <w:pPr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25779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Необходимо </w:t>
            </w:r>
            <w:hyperlink r:id="rId7" w:history="1">
              <w:r w:rsidRPr="00025779">
                <w:rPr>
                  <w:rFonts w:eastAsia="Times New Roman" w:cs="Times New Roman"/>
                  <w:color w:val="005975"/>
                  <w:sz w:val="24"/>
                  <w:szCs w:val="24"/>
                  <w:u w:val="single"/>
                  <w:lang w:eastAsia="ru-RU"/>
                </w:rPr>
                <w:t>отправить научную статью</w:t>
              </w:r>
            </w:hyperlink>
            <w:r w:rsidRPr="00025779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</w:tbl>
    <w:p w:rsidR="00AF634C" w:rsidRDefault="00AF634C" w:rsidP="00AF634C">
      <w:pPr>
        <w:rPr>
          <w:b/>
          <w:color w:val="365F91" w:themeColor="accent1" w:themeShade="BF"/>
        </w:rPr>
      </w:pPr>
    </w:p>
    <w:p w:rsidR="00AF634C" w:rsidRDefault="00E17508" w:rsidP="00AF634C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 xml:space="preserve">Направления работы </w:t>
      </w:r>
      <w:r w:rsidR="00AF634C">
        <w:rPr>
          <w:b/>
          <w:color w:val="365F91" w:themeColor="accent1" w:themeShade="BF"/>
        </w:rPr>
        <w:t>конференции:</w:t>
      </w:r>
    </w:p>
    <w:p w:rsidR="00391D12" w:rsidRPr="00261846" w:rsidRDefault="00391D12" w:rsidP="00391D12">
      <w:pPr>
        <w:rPr>
          <w:b/>
        </w:rPr>
      </w:pPr>
      <w:r w:rsidRPr="00261846">
        <w:rPr>
          <w:b/>
        </w:rPr>
        <w:t>Материалы</w:t>
      </w:r>
    </w:p>
    <w:p w:rsidR="00391D12" w:rsidRDefault="00391D12" w:rsidP="00391D12">
      <w:pPr>
        <w:jc w:val="left"/>
      </w:pPr>
      <w:proofErr w:type="spellStart"/>
      <w:r>
        <w:t>Наноматериалы</w:t>
      </w:r>
      <w:proofErr w:type="spellEnd"/>
      <w:r>
        <w:t xml:space="preserve"> и </w:t>
      </w:r>
      <w:proofErr w:type="spellStart"/>
      <w:r>
        <w:t>нанокомпозиты</w:t>
      </w:r>
      <w:proofErr w:type="spellEnd"/>
    </w:p>
    <w:p w:rsidR="00391D12" w:rsidRDefault="00391D12" w:rsidP="00391D12">
      <w:pPr>
        <w:jc w:val="left"/>
      </w:pPr>
      <w:r>
        <w:t>Энергетика и ядерные науки</w:t>
      </w:r>
    </w:p>
    <w:p w:rsidR="00391D12" w:rsidRDefault="00391D12" w:rsidP="00391D12">
      <w:pPr>
        <w:jc w:val="left"/>
      </w:pPr>
      <w:r>
        <w:t>Макромолекулярная наука и инженерия</w:t>
      </w:r>
    </w:p>
    <w:p w:rsidR="00391D12" w:rsidRDefault="00391D12" w:rsidP="00391D12">
      <w:pPr>
        <w:jc w:val="left"/>
      </w:pPr>
      <w:r>
        <w:t>Расширенная обработка материалов</w:t>
      </w:r>
    </w:p>
    <w:p w:rsidR="00391D12" w:rsidRDefault="00391D12" w:rsidP="00391D12">
      <w:pPr>
        <w:jc w:val="left"/>
      </w:pPr>
      <w:r>
        <w:t>Металлургия и материаловедение</w:t>
      </w:r>
    </w:p>
    <w:p w:rsidR="00391D12" w:rsidRDefault="00391D12" w:rsidP="00391D12">
      <w:pPr>
        <w:jc w:val="left"/>
      </w:pPr>
      <w:r>
        <w:t>Стекло, керамика и клеи</w:t>
      </w:r>
    </w:p>
    <w:p w:rsidR="00391D12" w:rsidRDefault="00391D12" w:rsidP="00391D12">
      <w:pPr>
        <w:jc w:val="left"/>
      </w:pPr>
      <w:r>
        <w:lastRenderedPageBreak/>
        <w:t>Резина, пластмассы, текстиль и кожа</w:t>
      </w:r>
    </w:p>
    <w:p w:rsidR="00391D12" w:rsidRDefault="00391D12" w:rsidP="00391D12">
      <w:pPr>
        <w:jc w:val="left"/>
      </w:pPr>
      <w:r>
        <w:t>Целлюлоза, бумага и упаковка</w:t>
      </w:r>
    </w:p>
    <w:p w:rsidR="00391D12" w:rsidRDefault="00391D12" w:rsidP="00391D12">
      <w:pPr>
        <w:jc w:val="left"/>
      </w:pPr>
      <w:r>
        <w:t>Оптическая электроника и лазерное оборудование</w:t>
      </w:r>
    </w:p>
    <w:p w:rsidR="00391D12" w:rsidRDefault="00391D12" w:rsidP="00391D12">
      <w:pPr>
        <w:jc w:val="left"/>
      </w:pPr>
      <w:r>
        <w:t>Мембраны и мембранная наука</w:t>
      </w:r>
    </w:p>
    <w:p w:rsidR="00391D12" w:rsidRDefault="00391D12" w:rsidP="00391D12">
      <w:pPr>
        <w:jc w:val="left"/>
      </w:pPr>
      <w:r>
        <w:t>Ионные жидкости / растворы электролитов</w:t>
      </w:r>
    </w:p>
    <w:p w:rsidR="00391D12" w:rsidRDefault="00391D12" w:rsidP="00391D12">
      <w:pPr>
        <w:jc w:val="left"/>
      </w:pPr>
      <w:r>
        <w:t>Медицина, фармация и биотехнологии</w:t>
      </w:r>
    </w:p>
    <w:p w:rsidR="00391D12" w:rsidRDefault="00391D12" w:rsidP="00391D12">
      <w:pPr>
        <w:jc w:val="left"/>
      </w:pPr>
      <w:r>
        <w:t>Биохимия и молекулярная биология</w:t>
      </w:r>
    </w:p>
    <w:p w:rsidR="00391D12" w:rsidRDefault="00391D12" w:rsidP="00391D12">
      <w:pPr>
        <w:jc w:val="left"/>
      </w:pPr>
      <w:r>
        <w:t>Компьютерные системы и управление; Мобильные вычисления</w:t>
      </w:r>
    </w:p>
    <w:p w:rsidR="00391D12" w:rsidRDefault="00391D12" w:rsidP="00391D12">
      <w:pPr>
        <w:jc w:val="left"/>
      </w:pPr>
      <w:r>
        <w:t>Телекоммуникационные системы и сети</w:t>
      </w:r>
    </w:p>
    <w:p w:rsidR="00391D12" w:rsidRDefault="00391D12" w:rsidP="00391D12">
      <w:pPr>
        <w:jc w:val="left"/>
      </w:pPr>
      <w:r>
        <w:t xml:space="preserve">Объединение трансформационных материалов и обработки для </w:t>
      </w:r>
      <w:proofErr w:type="spellStart"/>
      <w:r>
        <w:t>энергоэффе</w:t>
      </w:r>
      <w:r>
        <w:t>к</w:t>
      </w:r>
      <w:r>
        <w:t>тивной</w:t>
      </w:r>
      <w:proofErr w:type="spellEnd"/>
      <w:r>
        <w:t xml:space="preserve"> и </w:t>
      </w:r>
      <w:proofErr w:type="spellStart"/>
      <w:r>
        <w:t>низкоуглеродной</w:t>
      </w:r>
      <w:proofErr w:type="spellEnd"/>
      <w:r>
        <w:t xml:space="preserve"> экономики</w:t>
      </w:r>
    </w:p>
    <w:p w:rsidR="00391D12" w:rsidRDefault="00391D12" w:rsidP="00391D12">
      <w:pPr>
        <w:jc w:val="left"/>
      </w:pPr>
      <w:r>
        <w:t>Альтернативные источники энергии для снижения зависимости от ископа</w:t>
      </w:r>
      <w:r>
        <w:t>е</w:t>
      </w:r>
      <w:r>
        <w:t xml:space="preserve">мого топлива; </w:t>
      </w:r>
      <w:proofErr w:type="spellStart"/>
      <w:r>
        <w:t>Биотопливо</w:t>
      </w:r>
      <w:proofErr w:type="spellEnd"/>
    </w:p>
    <w:p w:rsidR="00391D12" w:rsidRPr="00261846" w:rsidRDefault="00391D12" w:rsidP="00391D12">
      <w:pPr>
        <w:jc w:val="left"/>
        <w:rPr>
          <w:b/>
        </w:rPr>
      </w:pPr>
      <w:r w:rsidRPr="00261846">
        <w:rPr>
          <w:b/>
        </w:rPr>
        <w:t>Методы и инструменты инноваций</w:t>
      </w:r>
    </w:p>
    <w:p w:rsidR="00391D12" w:rsidRDefault="00391D12" w:rsidP="00391D12">
      <w:pPr>
        <w:jc w:val="left"/>
      </w:pPr>
      <w:r>
        <w:t xml:space="preserve">Инструменты для поддержки производства добавленной стоимости (научные / технологические парки, технологические / инновационные центры, </w:t>
      </w:r>
      <w:proofErr w:type="spellStart"/>
      <w:proofErr w:type="gramStart"/>
      <w:r>
        <w:t>бизнес-инкубаторы</w:t>
      </w:r>
      <w:proofErr w:type="spellEnd"/>
      <w:proofErr w:type="gramEnd"/>
      <w:r>
        <w:t>, программы поддержки бизнеса, ориентированные на технол</w:t>
      </w:r>
      <w:r>
        <w:t>о</w:t>
      </w:r>
      <w:r>
        <w:t>гии, научные коммуникации, финансирование инноваций и т. Д.)</w:t>
      </w:r>
    </w:p>
    <w:p w:rsidR="00391D12" w:rsidRDefault="00391D12" w:rsidP="00391D12">
      <w:pPr>
        <w:jc w:val="left"/>
      </w:pPr>
      <w:r>
        <w:t>Роль сотрудничества (ассоциации, сети, кластеры и т. Д.) В развитии иннов</w:t>
      </w:r>
      <w:r>
        <w:t>а</w:t>
      </w:r>
      <w:r>
        <w:t>ционных систем.</w:t>
      </w:r>
    </w:p>
    <w:p w:rsidR="00391D12" w:rsidRDefault="00391D12" w:rsidP="00391D12">
      <w:pPr>
        <w:jc w:val="left"/>
      </w:pPr>
      <w:r>
        <w:t>Организационное творчество и генерация идей</w:t>
      </w:r>
    </w:p>
    <w:p w:rsidR="00391D12" w:rsidRDefault="00391D12" w:rsidP="00391D12">
      <w:pPr>
        <w:jc w:val="left"/>
      </w:pPr>
      <w:r>
        <w:t>Передача технологий и управление интеллектуальной собственностью</w:t>
      </w:r>
    </w:p>
    <w:p w:rsidR="00391D12" w:rsidRDefault="00391D12" w:rsidP="00391D12">
      <w:pPr>
        <w:jc w:val="left"/>
      </w:pPr>
      <w:r>
        <w:t>Инновации и политика государственного сектора</w:t>
      </w:r>
    </w:p>
    <w:p w:rsidR="00391D12" w:rsidRDefault="00391D12" w:rsidP="00391D12">
      <w:pPr>
        <w:jc w:val="left"/>
      </w:pPr>
      <w:r>
        <w:t>Венчурный капитал и финансирование инноваций</w:t>
      </w:r>
    </w:p>
    <w:p w:rsidR="00391D12" w:rsidRDefault="00391D12" w:rsidP="00391D12">
      <w:pPr>
        <w:jc w:val="left"/>
      </w:pPr>
      <w:r>
        <w:t>Инновации и передача технологий</w:t>
      </w:r>
    </w:p>
    <w:p w:rsidR="00391D12" w:rsidRDefault="00391D12" w:rsidP="00391D12">
      <w:pPr>
        <w:jc w:val="left"/>
      </w:pPr>
      <w:r>
        <w:t>Природные и альтернативные источники энергии</w:t>
      </w:r>
    </w:p>
    <w:p w:rsidR="00391D12" w:rsidRDefault="00391D12" w:rsidP="00391D12">
      <w:pPr>
        <w:jc w:val="left"/>
      </w:pPr>
      <w:r>
        <w:t>Культура и командное управление в инновациях</w:t>
      </w:r>
    </w:p>
    <w:p w:rsidR="00391D12" w:rsidRDefault="00391D12" w:rsidP="00391D12">
      <w:pPr>
        <w:jc w:val="left"/>
      </w:pPr>
      <w:r>
        <w:t>Инновации в МСП</w:t>
      </w:r>
    </w:p>
    <w:p w:rsidR="00391D12" w:rsidRDefault="00391D12" w:rsidP="00391D12">
      <w:pPr>
        <w:jc w:val="left"/>
      </w:pPr>
      <w:r>
        <w:t>Инновационное обучение и образование</w:t>
      </w:r>
    </w:p>
    <w:p w:rsidR="00391D12" w:rsidRPr="00261846" w:rsidRDefault="00391D12" w:rsidP="00391D12">
      <w:pPr>
        <w:jc w:val="left"/>
        <w:rPr>
          <w:b/>
        </w:rPr>
      </w:pPr>
      <w:r w:rsidRPr="00261846">
        <w:rPr>
          <w:b/>
        </w:rPr>
        <w:t>Методы и технологии</w:t>
      </w:r>
    </w:p>
    <w:p w:rsidR="00391D12" w:rsidRDefault="00391D12" w:rsidP="00391D12">
      <w:pPr>
        <w:jc w:val="left"/>
      </w:pPr>
      <w:proofErr w:type="spellStart"/>
      <w:r>
        <w:t>Нанотехнологии</w:t>
      </w:r>
      <w:proofErr w:type="spellEnd"/>
    </w:p>
    <w:p w:rsidR="00391D12" w:rsidRDefault="00391D12" w:rsidP="00391D12">
      <w:pPr>
        <w:jc w:val="left"/>
      </w:pPr>
      <w:proofErr w:type="spellStart"/>
      <w:r>
        <w:t>Нанобиотехнологии</w:t>
      </w:r>
      <w:proofErr w:type="spellEnd"/>
    </w:p>
    <w:p w:rsidR="00391D12" w:rsidRDefault="00391D12" w:rsidP="00391D12">
      <w:proofErr w:type="spellStart"/>
      <w:r>
        <w:t>Нанобиокомпьютеры</w:t>
      </w:r>
      <w:proofErr w:type="spellEnd"/>
    </w:p>
    <w:p w:rsidR="00391D12" w:rsidRDefault="00391D12" w:rsidP="00391D12">
      <w:proofErr w:type="spellStart"/>
      <w:r>
        <w:t>Наномасштабная</w:t>
      </w:r>
      <w:proofErr w:type="spellEnd"/>
      <w:r>
        <w:t xml:space="preserve"> автоматизация</w:t>
      </w:r>
    </w:p>
    <w:p w:rsidR="00391D12" w:rsidRDefault="00391D12" w:rsidP="00391D12">
      <w:r>
        <w:t>Технология биоматериалов</w:t>
      </w:r>
    </w:p>
    <w:p w:rsidR="00391D12" w:rsidRDefault="00391D12" w:rsidP="00391D12">
      <w:proofErr w:type="spellStart"/>
      <w:r>
        <w:t>Биосенсоры</w:t>
      </w:r>
      <w:proofErr w:type="spellEnd"/>
      <w:r>
        <w:t xml:space="preserve">, </w:t>
      </w:r>
      <w:proofErr w:type="spellStart"/>
      <w:r>
        <w:t>биоэлектроника</w:t>
      </w:r>
      <w:proofErr w:type="spellEnd"/>
      <w:r>
        <w:t xml:space="preserve"> и диагностика</w:t>
      </w:r>
    </w:p>
    <w:p w:rsidR="00391D12" w:rsidRDefault="00391D12" w:rsidP="00391D12">
      <w:proofErr w:type="spellStart"/>
      <w:r>
        <w:t>Биороботика</w:t>
      </w:r>
      <w:proofErr w:type="spellEnd"/>
      <w:r>
        <w:t xml:space="preserve"> и бионика</w:t>
      </w:r>
    </w:p>
    <w:p w:rsidR="00391D12" w:rsidRDefault="00391D12" w:rsidP="00391D12">
      <w:r>
        <w:t>Биомедицинский анализ изображений</w:t>
      </w:r>
    </w:p>
    <w:p w:rsidR="00391D12" w:rsidRDefault="00391D12" w:rsidP="00391D12">
      <w:r>
        <w:t>Нейронные сети и искусственный интеллект</w:t>
      </w:r>
    </w:p>
    <w:p w:rsidR="00391D12" w:rsidRDefault="00391D12" w:rsidP="00391D12">
      <w:r>
        <w:t>Интеллектуальный анализ данных при распознавании образов</w:t>
      </w:r>
    </w:p>
    <w:p w:rsidR="00391D12" w:rsidRDefault="00391D12" w:rsidP="00391D12">
      <w:r>
        <w:t>Автоматизация науки и техники</w:t>
      </w:r>
    </w:p>
    <w:p w:rsidR="00391D12" w:rsidRDefault="00391D12" w:rsidP="00391D12">
      <w:r>
        <w:t>Математическое моделирование в химической инженерии</w:t>
      </w:r>
    </w:p>
    <w:p w:rsidR="00391D12" w:rsidRDefault="00391D12" w:rsidP="00391D12">
      <w:r>
        <w:t>Промышленный дизайн и моделирование</w:t>
      </w:r>
    </w:p>
    <w:p w:rsidR="00391D12" w:rsidRDefault="00391D12" w:rsidP="00391D12">
      <w:r>
        <w:t>Кристаллизация</w:t>
      </w:r>
    </w:p>
    <w:p w:rsidR="00391D12" w:rsidRDefault="00391D12" w:rsidP="00391D12">
      <w:r>
        <w:t>Дистилляция, абсорбция и экстракция</w:t>
      </w:r>
    </w:p>
    <w:p w:rsidR="00391D12" w:rsidRDefault="00391D12" w:rsidP="00391D12">
      <w:r>
        <w:lastRenderedPageBreak/>
        <w:t>Автоматика, машиностроение</w:t>
      </w:r>
    </w:p>
    <w:p w:rsidR="00391D12" w:rsidRDefault="00391D12" w:rsidP="00391D12">
      <w:r>
        <w:t>Электрохимические и антикоррозионные технологии</w:t>
      </w:r>
    </w:p>
    <w:p w:rsidR="00391D12" w:rsidRDefault="00391D12" w:rsidP="00391D12">
      <w:r>
        <w:t>Контроль коррозии и устойчивость</w:t>
      </w:r>
    </w:p>
    <w:p w:rsidR="00391D12" w:rsidRDefault="00391D12" w:rsidP="00391D12">
      <w:r>
        <w:t>Прикладная математика и информационные технологии</w:t>
      </w:r>
    </w:p>
    <w:p w:rsidR="00391D12" w:rsidRDefault="00391D12" w:rsidP="00391D12">
      <w:r>
        <w:t>Энергетика, электроснабжение и оборудование</w:t>
      </w:r>
    </w:p>
    <w:p w:rsidR="00391D12" w:rsidRDefault="00391D12" w:rsidP="00391D12">
      <w:r>
        <w:t>Технологические стандарты, сертификация, анализ и контроль</w:t>
      </w:r>
    </w:p>
    <w:p w:rsidR="00391D12" w:rsidRDefault="00391D12" w:rsidP="00391D12">
      <w:r>
        <w:t>Обработка и производство продукции</w:t>
      </w:r>
    </w:p>
    <w:p w:rsidR="00391D12" w:rsidRDefault="00391D12" w:rsidP="00391D12">
      <w:r>
        <w:t>Строительство, архитектура и геодезия</w:t>
      </w:r>
    </w:p>
    <w:p w:rsidR="00391D12" w:rsidRDefault="00391D12" w:rsidP="00391D12">
      <w:r>
        <w:t>Наземный, воздушный и водный транспорт</w:t>
      </w:r>
    </w:p>
    <w:p w:rsidR="00391D12" w:rsidRDefault="00391D12" w:rsidP="00391D12">
      <w:r>
        <w:t>Подъемная техника и оборудование</w:t>
      </w:r>
    </w:p>
    <w:p w:rsidR="00391D12" w:rsidRDefault="00391D12" w:rsidP="00391D12">
      <w:r>
        <w:t>Электротехника и электроника</w:t>
      </w:r>
    </w:p>
    <w:p w:rsidR="00391D12" w:rsidRDefault="00391D12" w:rsidP="00391D12">
      <w:r>
        <w:t>Устойчивая энергетика</w:t>
      </w:r>
    </w:p>
    <w:p w:rsidR="00391D12" w:rsidRDefault="00391D12" w:rsidP="00391D12">
      <w:r>
        <w:t>Проблемы подготовки нефти и газового конденсата</w:t>
      </w:r>
    </w:p>
    <w:p w:rsidR="00391D12" w:rsidRPr="00DA0700" w:rsidRDefault="00391D12" w:rsidP="00391D12">
      <w:r>
        <w:t xml:space="preserve">Проблемы подготовки и переработки природных битумов и высоковязких </w:t>
      </w:r>
      <w:proofErr w:type="spellStart"/>
      <w:r>
        <w:t>нефтей</w:t>
      </w:r>
      <w:proofErr w:type="spellEnd"/>
      <w:r>
        <w:t>.</w:t>
      </w:r>
    </w:p>
    <w:p w:rsidR="00084174" w:rsidRPr="00084174" w:rsidRDefault="00084174" w:rsidP="00084174">
      <w:pPr>
        <w:spacing w:line="300" w:lineRule="atLeast"/>
        <w:jc w:val="left"/>
        <w:rPr>
          <w:rFonts w:eastAsia="Times New Roman" w:cs="Times New Roman"/>
          <w:szCs w:val="28"/>
          <w:lang w:eastAsia="ru-RU"/>
        </w:rPr>
      </w:pPr>
      <w:r w:rsidRPr="00084174">
        <w:rPr>
          <w:rFonts w:eastAsia="Times New Roman" w:cs="Times New Roman"/>
          <w:szCs w:val="28"/>
          <w:lang w:eastAsia="ru-RU"/>
        </w:rPr>
        <w:br/>
        <w:t>Статьи по другим актуальным темам, связанным направлениям также принимаются к публикации.</w:t>
      </w:r>
    </w:p>
    <w:p w:rsidR="002E5CE0" w:rsidRDefault="002E5CE0" w:rsidP="002E5CE0">
      <w:pPr>
        <w:rPr>
          <w:rFonts w:cs="Times New Roman"/>
          <w:szCs w:val="28"/>
        </w:rPr>
      </w:pPr>
    </w:p>
    <w:p w:rsidR="004E106E" w:rsidRPr="00DA0700" w:rsidRDefault="004E106E" w:rsidP="004E106E">
      <w:pPr>
        <w:ind w:firstLine="709"/>
      </w:pPr>
      <w:r w:rsidRPr="00DA0700">
        <w:t xml:space="preserve">Из-за </w:t>
      </w:r>
      <w:r w:rsidRPr="00DA0700">
        <w:rPr>
          <w:lang w:val="en-US"/>
        </w:rPr>
        <w:t>COVID</w:t>
      </w:r>
      <w:r w:rsidRPr="00DA0700">
        <w:t xml:space="preserve">-19 многие ученые могут столкнуться с трудностями в поездках. Поэтому мы решили разрешить участникам изменить тип презентации (устная, стендовая или </w:t>
      </w:r>
      <w:proofErr w:type="spellStart"/>
      <w:r w:rsidRPr="00DA0700">
        <w:t>онлайн</w:t>
      </w:r>
      <w:proofErr w:type="spellEnd"/>
      <w:r w:rsidRPr="00DA0700">
        <w:t>) за 30 дней до фактической даты конференции.</w:t>
      </w:r>
    </w:p>
    <w:p w:rsidR="004E106E" w:rsidRPr="00DA0700" w:rsidRDefault="004E106E" w:rsidP="004E106E"/>
    <w:p w:rsidR="004E106E" w:rsidRPr="00DA0700" w:rsidRDefault="004E106E" w:rsidP="004E106E">
      <w:pPr>
        <w:ind w:firstLine="709"/>
      </w:pPr>
      <w:proofErr w:type="spellStart"/>
      <w:r w:rsidRPr="00DA0700">
        <w:t>Онлайн-участники</w:t>
      </w:r>
      <w:proofErr w:type="spellEnd"/>
      <w:r w:rsidRPr="00DA0700">
        <w:t xml:space="preserve"> могут представить устные презентации и плакаты; они получат все печатные материалы (программа, сертификат и т. д.) с мероприятия и опубликуют свои статьи. Нет ограничений на количество изменений, разрешенных в типе презентации.</w:t>
      </w:r>
    </w:p>
    <w:p w:rsidR="004E106E" w:rsidRPr="00DA0700" w:rsidRDefault="004E106E" w:rsidP="004E106E"/>
    <w:p w:rsidR="004E106E" w:rsidRPr="00DA0700" w:rsidRDefault="004E106E" w:rsidP="004E106E">
      <w:pPr>
        <w:ind w:firstLine="709"/>
      </w:pPr>
      <w:r w:rsidRPr="00DA0700">
        <w:t xml:space="preserve">Представленные статьи будут опубликованы в журналах с открытым доступом, входящих в состав </w:t>
      </w:r>
      <w:r w:rsidRPr="00DA0700">
        <w:rPr>
          <w:lang w:val="en-US"/>
        </w:rPr>
        <w:t>International</w:t>
      </w:r>
      <w:r w:rsidRPr="00DA0700">
        <w:t xml:space="preserve"> </w:t>
      </w:r>
      <w:r w:rsidRPr="00DA0700">
        <w:rPr>
          <w:lang w:val="en-US"/>
        </w:rPr>
        <w:t>Scientific</w:t>
      </w:r>
      <w:r w:rsidRPr="00DA0700">
        <w:t xml:space="preserve"> </w:t>
      </w:r>
      <w:r w:rsidRPr="00DA0700">
        <w:rPr>
          <w:lang w:val="en-US"/>
        </w:rPr>
        <w:t>Publications</w:t>
      </w:r>
      <w:r w:rsidRPr="00DA0700">
        <w:t>.</w:t>
      </w:r>
    </w:p>
    <w:p w:rsidR="004E106E" w:rsidRPr="00DA0700" w:rsidRDefault="004E106E" w:rsidP="004E106E">
      <w:r w:rsidRPr="00DA0700">
        <w:t>Организовано в сотрудничестве с Болгарской академией наук, Союзом ученых Болгарии, Фондом науки и образования и партнерами.</w:t>
      </w:r>
    </w:p>
    <w:p w:rsidR="004E106E" w:rsidRPr="00DA0700" w:rsidRDefault="004E106E" w:rsidP="004E106E"/>
    <w:p w:rsidR="004E106E" w:rsidRPr="00744DE6" w:rsidRDefault="004E106E" w:rsidP="004E106E">
      <w:pPr>
        <w:spacing w:after="300" w:line="300" w:lineRule="atLeast"/>
        <w:ind w:firstLine="709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744DE6">
        <w:rPr>
          <w:rFonts w:cs="Times New Roman"/>
          <w:color w:val="333333"/>
          <w:szCs w:val="28"/>
        </w:rPr>
        <w:t>Все</w:t>
      </w:r>
      <w:r w:rsidRPr="00AB4117">
        <w:rPr>
          <w:rFonts w:cs="Times New Roman"/>
          <w:color w:val="333333"/>
          <w:szCs w:val="28"/>
        </w:rPr>
        <w:t xml:space="preserve"> </w:t>
      </w:r>
      <w:r w:rsidRPr="00744DE6">
        <w:rPr>
          <w:rFonts w:cs="Times New Roman"/>
          <w:color w:val="333333"/>
          <w:szCs w:val="28"/>
        </w:rPr>
        <w:t>научные</w:t>
      </w:r>
      <w:r w:rsidRPr="00AB4117">
        <w:rPr>
          <w:rFonts w:cs="Times New Roman"/>
          <w:color w:val="333333"/>
          <w:szCs w:val="28"/>
        </w:rPr>
        <w:t xml:space="preserve"> </w:t>
      </w:r>
      <w:r w:rsidRPr="00744DE6">
        <w:rPr>
          <w:rFonts w:cs="Times New Roman"/>
          <w:color w:val="333333"/>
          <w:szCs w:val="28"/>
        </w:rPr>
        <w:t>журналы</w:t>
      </w:r>
      <w:r w:rsidRPr="00744DE6">
        <w:rPr>
          <w:rStyle w:val="apple-converted-space"/>
          <w:rFonts w:cs="Times New Roman"/>
          <w:color w:val="333333"/>
          <w:szCs w:val="28"/>
          <w:lang w:val="en-US"/>
        </w:rPr>
        <w:t> </w:t>
      </w:r>
      <w:r w:rsidRPr="00744DE6">
        <w:rPr>
          <w:rStyle w:val="a4"/>
          <w:rFonts w:cs="Times New Roman"/>
          <w:color w:val="333333"/>
          <w:szCs w:val="28"/>
          <w:lang w:val="en-US"/>
        </w:rPr>
        <w:t>International</w:t>
      </w:r>
      <w:r w:rsidRPr="00AB4117">
        <w:rPr>
          <w:rStyle w:val="a4"/>
          <w:rFonts w:cs="Times New Roman"/>
          <w:color w:val="333333"/>
          <w:szCs w:val="28"/>
        </w:rPr>
        <w:t xml:space="preserve"> </w:t>
      </w:r>
      <w:r w:rsidRPr="00744DE6">
        <w:rPr>
          <w:rStyle w:val="a4"/>
          <w:rFonts w:cs="Times New Roman"/>
          <w:color w:val="333333"/>
          <w:szCs w:val="28"/>
          <w:lang w:val="en-US"/>
        </w:rPr>
        <w:t>Scientific</w:t>
      </w:r>
      <w:r w:rsidRPr="00AB4117">
        <w:rPr>
          <w:rStyle w:val="a4"/>
          <w:rFonts w:cs="Times New Roman"/>
          <w:color w:val="333333"/>
          <w:szCs w:val="28"/>
        </w:rPr>
        <w:t xml:space="preserve"> </w:t>
      </w:r>
      <w:r w:rsidRPr="00744DE6">
        <w:rPr>
          <w:rStyle w:val="a4"/>
          <w:rFonts w:cs="Times New Roman"/>
          <w:color w:val="333333"/>
          <w:szCs w:val="28"/>
          <w:lang w:val="en-US"/>
        </w:rPr>
        <w:t>Publications</w:t>
      </w:r>
      <w:r>
        <w:rPr>
          <w:rStyle w:val="apple-converted-space"/>
          <w:rFonts w:cs="Times New Roman"/>
          <w:color w:val="333333"/>
          <w:szCs w:val="28"/>
        </w:rPr>
        <w:t xml:space="preserve"> </w:t>
      </w:r>
      <w:r w:rsidRPr="00744DE6">
        <w:rPr>
          <w:rFonts w:cs="Times New Roman"/>
          <w:color w:val="333333"/>
          <w:szCs w:val="28"/>
        </w:rPr>
        <w:t>представлены</w:t>
      </w:r>
      <w:r w:rsidRPr="00AB4117">
        <w:rPr>
          <w:rFonts w:cs="Times New Roman"/>
          <w:color w:val="333333"/>
          <w:szCs w:val="28"/>
        </w:rPr>
        <w:t xml:space="preserve"> </w:t>
      </w:r>
      <w:r w:rsidRPr="00744DE6">
        <w:rPr>
          <w:rFonts w:cs="Times New Roman"/>
          <w:color w:val="333333"/>
          <w:szCs w:val="28"/>
        </w:rPr>
        <w:t>в</w:t>
      </w:r>
      <w:r w:rsidRPr="00AB4117">
        <w:rPr>
          <w:rFonts w:cs="Times New Roman"/>
          <w:color w:val="333333"/>
          <w:szCs w:val="28"/>
        </w:rPr>
        <w:t xml:space="preserve"> </w:t>
      </w:r>
      <w:r w:rsidRPr="00744DE6">
        <w:rPr>
          <w:rFonts w:cs="Times New Roman"/>
          <w:color w:val="333333"/>
          <w:szCs w:val="28"/>
        </w:rPr>
        <w:t>ключе</w:t>
      </w:r>
      <w:r w:rsidRPr="00AB4117">
        <w:rPr>
          <w:rFonts w:cs="Times New Roman"/>
          <w:color w:val="333333"/>
          <w:szCs w:val="28"/>
        </w:rPr>
        <w:t xml:space="preserve"> </w:t>
      </w:r>
      <w:r w:rsidRPr="00744DE6">
        <w:rPr>
          <w:rFonts w:cs="Times New Roman"/>
          <w:color w:val="333333"/>
          <w:szCs w:val="28"/>
        </w:rPr>
        <w:t>политике</w:t>
      </w:r>
      <w:r w:rsidRPr="00AB4117">
        <w:rPr>
          <w:rFonts w:cs="Times New Roman"/>
          <w:color w:val="333333"/>
          <w:szCs w:val="28"/>
        </w:rPr>
        <w:t xml:space="preserve"> </w:t>
      </w:r>
      <w:r w:rsidRPr="00744DE6">
        <w:rPr>
          <w:rFonts w:cs="Times New Roman"/>
          <w:color w:val="333333"/>
          <w:szCs w:val="28"/>
        </w:rPr>
        <w:t>открытого</w:t>
      </w:r>
      <w:r w:rsidRPr="00AB4117">
        <w:rPr>
          <w:rFonts w:cs="Times New Roman"/>
          <w:color w:val="333333"/>
          <w:szCs w:val="28"/>
        </w:rPr>
        <w:t xml:space="preserve"> </w:t>
      </w:r>
      <w:r w:rsidRPr="00744DE6">
        <w:rPr>
          <w:rFonts w:cs="Times New Roman"/>
          <w:color w:val="333333"/>
          <w:szCs w:val="28"/>
        </w:rPr>
        <w:t>доступа</w:t>
      </w:r>
      <w:r w:rsidRPr="00AB4117">
        <w:rPr>
          <w:rFonts w:cs="Times New Roman"/>
          <w:color w:val="333333"/>
          <w:szCs w:val="28"/>
        </w:rPr>
        <w:t xml:space="preserve">, </w:t>
      </w:r>
      <w:r>
        <w:rPr>
          <w:rFonts w:cs="Times New Roman"/>
          <w:color w:val="333333"/>
          <w:szCs w:val="28"/>
        </w:rPr>
        <w:t xml:space="preserve"> </w:t>
      </w:r>
      <w:r w:rsidRPr="00744DE6">
        <w:rPr>
          <w:rFonts w:cs="Times New Roman"/>
          <w:color w:val="333333"/>
          <w:szCs w:val="28"/>
        </w:rPr>
        <w:t>публикуются</w:t>
      </w:r>
      <w:r>
        <w:rPr>
          <w:rFonts w:cs="Times New Roman"/>
          <w:color w:val="333333"/>
          <w:szCs w:val="28"/>
        </w:rPr>
        <w:t xml:space="preserve">  </w:t>
      </w:r>
      <w:hyperlink r:id="rId8" w:tgtFrame="_blank" w:history="1">
        <w:r w:rsidRPr="00744DE6">
          <w:rPr>
            <w:rStyle w:val="a3"/>
            <w:color w:val="007399"/>
            <w:szCs w:val="28"/>
            <w:lang w:val="en-US"/>
          </w:rPr>
          <w:t>Creative</w:t>
        </w:r>
        <w:r w:rsidRPr="00AB4117">
          <w:rPr>
            <w:rStyle w:val="a3"/>
            <w:color w:val="007399"/>
            <w:szCs w:val="28"/>
          </w:rPr>
          <w:t xml:space="preserve"> </w:t>
        </w:r>
        <w:r w:rsidRPr="00744DE6">
          <w:rPr>
            <w:rStyle w:val="a3"/>
            <w:color w:val="007399"/>
            <w:szCs w:val="28"/>
            <w:lang w:val="en-US"/>
          </w:rPr>
          <w:t>Commons</w:t>
        </w:r>
        <w:r w:rsidRPr="00AB4117">
          <w:rPr>
            <w:rStyle w:val="a3"/>
            <w:color w:val="007399"/>
            <w:szCs w:val="28"/>
          </w:rPr>
          <w:t xml:space="preserve"> </w:t>
        </w:r>
        <w:r w:rsidRPr="00744DE6">
          <w:rPr>
            <w:rStyle w:val="a3"/>
            <w:color w:val="007399"/>
            <w:szCs w:val="28"/>
            <w:lang w:val="en-US"/>
          </w:rPr>
          <w:t>Attribution</w:t>
        </w:r>
        <w:r w:rsidRPr="00AB4117">
          <w:rPr>
            <w:rStyle w:val="a3"/>
            <w:color w:val="007399"/>
            <w:szCs w:val="28"/>
          </w:rPr>
          <w:t xml:space="preserve"> </w:t>
        </w:r>
        <w:r w:rsidRPr="00744DE6">
          <w:rPr>
            <w:rStyle w:val="a3"/>
            <w:color w:val="007399"/>
            <w:szCs w:val="28"/>
            <w:lang w:val="en-US"/>
          </w:rPr>
          <w:t>License</w:t>
        </w:r>
      </w:hyperlink>
      <w:r w:rsidRPr="00744DE6">
        <w:rPr>
          <w:rStyle w:val="apple-converted-space"/>
          <w:rFonts w:cs="Times New Roman"/>
          <w:color w:val="333333"/>
          <w:szCs w:val="28"/>
          <w:lang w:val="en-US"/>
        </w:rPr>
        <w:t> </w:t>
      </w:r>
      <w:r w:rsidRPr="00744DE6">
        <w:rPr>
          <w:rFonts w:cs="Times New Roman"/>
          <w:color w:val="333333"/>
          <w:szCs w:val="28"/>
        </w:rPr>
        <w:t>и</w:t>
      </w:r>
      <w:r w:rsidRPr="00AB4117">
        <w:rPr>
          <w:rFonts w:cs="Times New Roman"/>
          <w:color w:val="333333"/>
          <w:szCs w:val="28"/>
        </w:rPr>
        <w:t xml:space="preserve"> </w:t>
      </w:r>
      <w:r w:rsidRPr="00744DE6">
        <w:rPr>
          <w:rFonts w:cs="Times New Roman"/>
          <w:color w:val="333333"/>
          <w:szCs w:val="28"/>
        </w:rPr>
        <w:t>идентифицируются</w:t>
      </w:r>
      <w:r w:rsidRPr="00744DE6">
        <w:rPr>
          <w:rStyle w:val="apple-converted-space"/>
          <w:rFonts w:cs="Times New Roman"/>
          <w:color w:val="333333"/>
          <w:szCs w:val="28"/>
          <w:lang w:val="en-US"/>
        </w:rPr>
        <w:t> </w:t>
      </w:r>
      <w:hyperlink r:id="rId9" w:tgtFrame="_blank" w:history="1">
        <w:r w:rsidRPr="00744DE6">
          <w:rPr>
            <w:rStyle w:val="a3"/>
            <w:color w:val="007399"/>
            <w:szCs w:val="28"/>
            <w:lang w:val="en-US"/>
          </w:rPr>
          <w:t>ISSN</w:t>
        </w:r>
      </w:hyperlink>
      <w:r w:rsidRPr="00AB4117">
        <w:rPr>
          <w:rFonts w:cs="Times New Roman"/>
          <w:color w:val="333333"/>
          <w:szCs w:val="28"/>
        </w:rPr>
        <w:t>.</w:t>
      </w:r>
    </w:p>
    <w:tbl>
      <w:tblPr>
        <w:tblW w:w="8437" w:type="dxa"/>
        <w:jc w:val="center"/>
        <w:tblInd w:w="-349" w:type="dxa"/>
        <w:tblBorders>
          <w:top w:val="single" w:sz="6" w:space="0" w:color="AAAAAA"/>
          <w:left w:val="single" w:sz="6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11"/>
        <w:gridCol w:w="2126"/>
      </w:tblGrid>
      <w:tr w:rsidR="004E106E" w:rsidRPr="00744DE6" w:rsidTr="00145D7F">
        <w:trPr>
          <w:jc w:val="center"/>
        </w:trPr>
        <w:tc>
          <w:tcPr>
            <w:tcW w:w="6311" w:type="dxa"/>
            <w:tcBorders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106E" w:rsidRPr="00744DE6" w:rsidRDefault="004E106E" w:rsidP="00145D7F">
            <w:pPr>
              <w:spacing w:after="12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744DE6">
              <w:rPr>
                <w:rFonts w:eastAsia="Times New Roman" w:cs="Times New Roman"/>
                <w:color w:val="333333"/>
                <w:szCs w:val="28"/>
                <w:lang w:eastAsia="ru-RU"/>
              </w:rPr>
              <w:t>Сбор за публикацию одной статьи</w:t>
            </w:r>
          </w:p>
        </w:tc>
        <w:tc>
          <w:tcPr>
            <w:tcW w:w="2126" w:type="dxa"/>
            <w:tcBorders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106E" w:rsidRPr="00744DE6" w:rsidRDefault="004E106E" w:rsidP="00145D7F">
            <w:pPr>
              <w:spacing w:after="120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744DE6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180 </w:t>
            </w:r>
            <w:proofErr w:type="spellStart"/>
            <w:r w:rsidRPr="00744DE6">
              <w:rPr>
                <w:rFonts w:eastAsia="Times New Roman" w:cs="Times New Roman"/>
                <w:color w:val="333333"/>
                <w:szCs w:val="28"/>
                <w:lang w:eastAsia="ru-RU"/>
              </w:rPr>
              <w:t>Euro</w:t>
            </w:r>
            <w:proofErr w:type="spellEnd"/>
          </w:p>
        </w:tc>
      </w:tr>
      <w:tr w:rsidR="004E106E" w:rsidRPr="00744DE6" w:rsidTr="00145D7F">
        <w:trPr>
          <w:jc w:val="center"/>
        </w:trPr>
        <w:tc>
          <w:tcPr>
            <w:tcW w:w="6311" w:type="dxa"/>
            <w:tcBorders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106E" w:rsidRPr="00744DE6" w:rsidRDefault="004E106E" w:rsidP="00145D7F">
            <w:pPr>
              <w:spacing w:after="12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744DE6">
              <w:rPr>
                <w:rFonts w:eastAsia="Times New Roman" w:cs="Times New Roman"/>
                <w:color w:val="333333"/>
                <w:szCs w:val="28"/>
                <w:lang w:eastAsia="ru-RU"/>
              </w:rPr>
              <w:t>Сбор за публикацию второй статьи в том же томе</w:t>
            </w:r>
          </w:p>
        </w:tc>
        <w:tc>
          <w:tcPr>
            <w:tcW w:w="2126" w:type="dxa"/>
            <w:tcBorders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106E" w:rsidRPr="00744DE6" w:rsidRDefault="004E106E" w:rsidP="00145D7F">
            <w:pPr>
              <w:spacing w:after="120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744DE6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120 </w:t>
            </w:r>
            <w:proofErr w:type="spellStart"/>
            <w:r w:rsidRPr="00744DE6">
              <w:rPr>
                <w:rFonts w:eastAsia="Times New Roman" w:cs="Times New Roman"/>
                <w:color w:val="333333"/>
                <w:szCs w:val="28"/>
                <w:lang w:eastAsia="ru-RU"/>
              </w:rPr>
              <w:t>Euro</w:t>
            </w:r>
            <w:proofErr w:type="spellEnd"/>
          </w:p>
        </w:tc>
      </w:tr>
    </w:tbl>
    <w:p w:rsidR="004E106E" w:rsidRPr="00AB4117" w:rsidRDefault="004E106E" w:rsidP="004E106E">
      <w:pPr>
        <w:spacing w:line="300" w:lineRule="atLeast"/>
        <w:ind w:firstLine="709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744DE6">
        <w:rPr>
          <w:rFonts w:eastAsia="Times New Roman" w:cs="Times New Roman"/>
          <w:color w:val="333333"/>
          <w:szCs w:val="28"/>
          <w:lang w:eastAsia="ru-RU"/>
        </w:rPr>
        <w:t>Оплата производится только в случае, если представленная рукопись принята к публикации.</w:t>
      </w:r>
      <w:r w:rsidRPr="00744DE6">
        <w:rPr>
          <w:rFonts w:eastAsia="Times New Roman" w:cs="Times New Roman"/>
          <w:color w:val="333333"/>
          <w:szCs w:val="28"/>
          <w:lang w:eastAsia="ru-RU"/>
        </w:rPr>
        <w:br/>
      </w:r>
      <w:r w:rsidRPr="00744DE6">
        <w:rPr>
          <w:rFonts w:eastAsia="Times New Roman" w:cs="Times New Roman"/>
          <w:color w:val="333333"/>
          <w:szCs w:val="28"/>
          <w:lang w:eastAsia="ru-RU"/>
        </w:rPr>
        <w:lastRenderedPageBreak/>
        <w:t>Количество авторов не влияет на сумму сбора.</w:t>
      </w:r>
      <w:r w:rsidRPr="00744DE6">
        <w:rPr>
          <w:rFonts w:eastAsia="Times New Roman" w:cs="Times New Roman"/>
          <w:color w:val="333333"/>
          <w:szCs w:val="28"/>
          <w:lang w:eastAsia="ru-RU"/>
        </w:rPr>
        <w:br/>
        <w:t>Авторы получают сертификат за каждую опубликованную статью.</w:t>
      </w:r>
    </w:p>
    <w:p w:rsidR="004E106E" w:rsidRPr="00084174" w:rsidRDefault="004E106E" w:rsidP="002E5CE0">
      <w:pPr>
        <w:rPr>
          <w:rFonts w:cs="Times New Roman"/>
          <w:szCs w:val="28"/>
        </w:rPr>
      </w:pPr>
    </w:p>
    <w:p w:rsidR="00084174" w:rsidRDefault="002E5CE0" w:rsidP="00084174">
      <w:pPr>
        <w:jc w:val="left"/>
      </w:pPr>
      <w:r w:rsidRPr="00084174">
        <w:rPr>
          <w:rFonts w:cs="Times New Roman"/>
          <w:szCs w:val="28"/>
        </w:rPr>
        <w:t xml:space="preserve">Подробная информация на сайте: </w:t>
      </w:r>
    </w:p>
    <w:p w:rsidR="00283B9E" w:rsidRDefault="00C6321B">
      <w:pPr>
        <w:rPr>
          <w:rFonts w:cs="Times New Roman"/>
          <w:szCs w:val="28"/>
        </w:rPr>
      </w:pPr>
      <w:hyperlink r:id="rId10" w:history="1">
        <w:r w:rsidRPr="00AD3BA6">
          <w:rPr>
            <w:rStyle w:val="a3"/>
            <w:rFonts w:cs="Times New Roman"/>
            <w:szCs w:val="28"/>
          </w:rPr>
          <w:t>https://www.sciencebg.net/ru/conferences/economy-and-business/</w:t>
        </w:r>
      </w:hyperlink>
    </w:p>
    <w:p w:rsidR="00C6321B" w:rsidRDefault="00C6321B"/>
    <w:sectPr w:rsidR="00C6321B" w:rsidSect="00084174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260C"/>
    <w:multiLevelType w:val="multilevel"/>
    <w:tmpl w:val="B822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F76129"/>
    <w:multiLevelType w:val="multilevel"/>
    <w:tmpl w:val="5CD8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694A0E"/>
    <w:multiLevelType w:val="multilevel"/>
    <w:tmpl w:val="6DDA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E5CE0"/>
    <w:rsid w:val="000517D8"/>
    <w:rsid w:val="00084174"/>
    <w:rsid w:val="000973E5"/>
    <w:rsid w:val="000B1417"/>
    <w:rsid w:val="001451E7"/>
    <w:rsid w:val="00261846"/>
    <w:rsid w:val="00283B9E"/>
    <w:rsid w:val="002A1D99"/>
    <w:rsid w:val="002A6B1B"/>
    <w:rsid w:val="002E5CE0"/>
    <w:rsid w:val="00391D12"/>
    <w:rsid w:val="003F0CAE"/>
    <w:rsid w:val="00473DF5"/>
    <w:rsid w:val="004C157F"/>
    <w:rsid w:val="004E106E"/>
    <w:rsid w:val="00522B0E"/>
    <w:rsid w:val="00565918"/>
    <w:rsid w:val="005B03DF"/>
    <w:rsid w:val="005F2C08"/>
    <w:rsid w:val="00672AA9"/>
    <w:rsid w:val="007F7E7B"/>
    <w:rsid w:val="0086381E"/>
    <w:rsid w:val="00867C2F"/>
    <w:rsid w:val="00906D3A"/>
    <w:rsid w:val="00927987"/>
    <w:rsid w:val="00994E83"/>
    <w:rsid w:val="009C4205"/>
    <w:rsid w:val="00A26B9D"/>
    <w:rsid w:val="00AF634C"/>
    <w:rsid w:val="00B32092"/>
    <w:rsid w:val="00B54915"/>
    <w:rsid w:val="00B850E6"/>
    <w:rsid w:val="00BD0CC4"/>
    <w:rsid w:val="00BE557E"/>
    <w:rsid w:val="00C6321B"/>
    <w:rsid w:val="00CD65C2"/>
    <w:rsid w:val="00D042B7"/>
    <w:rsid w:val="00D82C5B"/>
    <w:rsid w:val="00DF7F05"/>
    <w:rsid w:val="00E17508"/>
    <w:rsid w:val="00EA055E"/>
    <w:rsid w:val="00EE320C"/>
    <w:rsid w:val="00EF5AFE"/>
    <w:rsid w:val="00F26B3D"/>
    <w:rsid w:val="00F456CE"/>
    <w:rsid w:val="00FC4816"/>
    <w:rsid w:val="00FD4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E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84174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CE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2E5CE0"/>
    <w:rPr>
      <w:b/>
      <w:bCs/>
    </w:rPr>
  </w:style>
  <w:style w:type="character" w:customStyle="1" w:styleId="apple-converted-space">
    <w:name w:val="apple-converted-space"/>
    <w:basedOn w:val="a0"/>
    <w:rsid w:val="002E5CE0"/>
  </w:style>
  <w:style w:type="character" w:customStyle="1" w:styleId="20">
    <w:name w:val="Заголовок 2 Знак"/>
    <w:basedOn w:val="a0"/>
    <w:link w:val="2"/>
    <w:uiPriority w:val="9"/>
    <w:rsid w:val="000841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084174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ztplmc">
    <w:name w:val="ztplmc"/>
    <w:basedOn w:val="a0"/>
    <w:rsid w:val="00391D12"/>
  </w:style>
  <w:style w:type="character" w:customStyle="1" w:styleId="jlqj4b">
    <w:name w:val="jlqj4b"/>
    <w:basedOn w:val="a0"/>
    <w:rsid w:val="00391D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49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0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601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1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/3.0/deed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iencebg.net/ru/uploa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iencebg.net/ru/paymen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ciencebg.net/ru/register/" TargetMode="External"/><Relationship Id="rId10" Type="http://schemas.openxmlformats.org/officeDocument/2006/relationships/hyperlink" Target="https://www.sciencebg.net/ru/conferences/economy-and-busine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sn.org/understanding-the-issn/what-is-an-iss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2022-01-03T06:35:00Z</dcterms:created>
  <dcterms:modified xsi:type="dcterms:W3CDTF">2022-01-03T06:35:00Z</dcterms:modified>
</cp:coreProperties>
</file>